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720"/>
        <w:gridCol w:w="2260"/>
        <w:gridCol w:w="1640"/>
        <w:gridCol w:w="3880"/>
        <w:gridCol w:w="2280"/>
        <w:gridCol w:w="3280"/>
      </w:tblGrid>
      <w:tr w:rsidR="009A7F3C" w:rsidTr="00351ECD">
        <w:trPr>
          <w:trHeight w:val="460"/>
          <w:jc w:val="center"/>
        </w:trPr>
        <w:tc>
          <w:tcPr>
            <w:tcW w:w="2980" w:type="dxa"/>
            <w:gridSpan w:val="2"/>
            <w:tcBorders>
              <w:top w:val="nil"/>
              <w:left w:val="nil"/>
              <w:bottom w:val="nil"/>
              <w:right w:val="nil"/>
            </w:tcBorders>
            <w:vAlign w:val="bottom"/>
          </w:tcPr>
          <w:p w:rsidR="009A7F3C" w:rsidRDefault="009A7F3C" w:rsidP="00351ECD">
            <w:pPr>
              <w:widowControl/>
              <w:jc w:val="left"/>
              <w:rPr>
                <w:rFonts w:ascii="宋体" w:hAnsi="宋体" w:cs="宋体"/>
                <w:kern w:val="0"/>
                <w:sz w:val="32"/>
                <w:szCs w:val="32"/>
              </w:rPr>
            </w:pPr>
            <w:r>
              <w:rPr>
                <w:rFonts w:ascii="黑体" w:eastAsia="黑体" w:hAnsi="宋体" w:cs="宋体" w:hint="eastAsia"/>
                <w:kern w:val="0"/>
                <w:sz w:val="32"/>
                <w:szCs w:val="32"/>
              </w:rPr>
              <w:t>附件：</w:t>
            </w:r>
          </w:p>
        </w:tc>
        <w:tc>
          <w:tcPr>
            <w:tcW w:w="1640" w:type="dxa"/>
            <w:tcBorders>
              <w:top w:val="nil"/>
              <w:left w:val="nil"/>
              <w:bottom w:val="nil"/>
              <w:right w:val="nil"/>
            </w:tcBorders>
            <w:vAlign w:val="bottom"/>
          </w:tcPr>
          <w:p w:rsidR="009A7F3C" w:rsidRDefault="009A7F3C" w:rsidP="00351ECD">
            <w:pPr>
              <w:widowControl/>
              <w:jc w:val="left"/>
              <w:rPr>
                <w:rFonts w:ascii="宋体" w:hAnsi="宋体" w:cs="宋体"/>
                <w:kern w:val="0"/>
                <w:sz w:val="24"/>
              </w:rPr>
            </w:pPr>
          </w:p>
        </w:tc>
        <w:tc>
          <w:tcPr>
            <w:tcW w:w="3880" w:type="dxa"/>
            <w:tcBorders>
              <w:top w:val="nil"/>
              <w:left w:val="nil"/>
              <w:bottom w:val="nil"/>
              <w:right w:val="nil"/>
            </w:tcBorders>
            <w:vAlign w:val="bottom"/>
          </w:tcPr>
          <w:p w:rsidR="009A7F3C" w:rsidRDefault="009A7F3C" w:rsidP="00351ECD">
            <w:pPr>
              <w:widowControl/>
              <w:jc w:val="left"/>
              <w:rPr>
                <w:rFonts w:ascii="宋体" w:hAnsi="宋体" w:cs="宋体"/>
                <w:kern w:val="0"/>
                <w:sz w:val="24"/>
              </w:rPr>
            </w:pPr>
          </w:p>
        </w:tc>
        <w:tc>
          <w:tcPr>
            <w:tcW w:w="2280" w:type="dxa"/>
            <w:tcBorders>
              <w:top w:val="nil"/>
              <w:left w:val="nil"/>
              <w:bottom w:val="nil"/>
              <w:right w:val="nil"/>
            </w:tcBorders>
            <w:vAlign w:val="bottom"/>
          </w:tcPr>
          <w:p w:rsidR="009A7F3C" w:rsidRDefault="009A7F3C" w:rsidP="00351ECD">
            <w:pPr>
              <w:widowControl/>
              <w:jc w:val="left"/>
              <w:rPr>
                <w:rFonts w:ascii="宋体" w:hAnsi="宋体" w:cs="宋体"/>
                <w:kern w:val="0"/>
                <w:sz w:val="24"/>
              </w:rPr>
            </w:pPr>
          </w:p>
        </w:tc>
        <w:tc>
          <w:tcPr>
            <w:tcW w:w="3280" w:type="dxa"/>
            <w:tcBorders>
              <w:top w:val="nil"/>
              <w:left w:val="nil"/>
              <w:bottom w:val="nil"/>
              <w:right w:val="nil"/>
            </w:tcBorders>
            <w:vAlign w:val="bottom"/>
          </w:tcPr>
          <w:p w:rsidR="009A7F3C" w:rsidRDefault="009A7F3C" w:rsidP="00351ECD">
            <w:pPr>
              <w:widowControl/>
              <w:jc w:val="left"/>
              <w:rPr>
                <w:rFonts w:ascii="宋体" w:hAnsi="宋体" w:cs="宋体"/>
                <w:kern w:val="0"/>
                <w:sz w:val="24"/>
              </w:rPr>
            </w:pPr>
          </w:p>
        </w:tc>
      </w:tr>
      <w:tr w:rsidR="009A7F3C" w:rsidTr="00351ECD">
        <w:trPr>
          <w:trHeight w:val="623"/>
          <w:jc w:val="center"/>
        </w:trPr>
        <w:tc>
          <w:tcPr>
            <w:tcW w:w="14060" w:type="dxa"/>
            <w:gridSpan w:val="6"/>
            <w:tcBorders>
              <w:top w:val="nil"/>
              <w:left w:val="nil"/>
              <w:bottom w:val="nil"/>
              <w:right w:val="nil"/>
            </w:tcBorders>
            <w:vAlign w:val="center"/>
          </w:tcPr>
          <w:p w:rsidR="009A7F3C" w:rsidRDefault="009A7F3C" w:rsidP="00351ECD">
            <w:pPr>
              <w:widowControl/>
              <w:jc w:val="center"/>
              <w:rPr>
                <w:rFonts w:ascii="方正大标宋简体" w:eastAsia="方正大标宋简体" w:hAnsi="宋体" w:cs="宋体" w:hint="eastAsia"/>
                <w:kern w:val="0"/>
                <w:sz w:val="36"/>
                <w:szCs w:val="36"/>
              </w:rPr>
            </w:pPr>
            <w:r>
              <w:rPr>
                <w:rFonts w:ascii="方正大标宋简体" w:eastAsia="方正大标宋简体" w:hAnsi="宋体" w:cs="宋体" w:hint="eastAsia"/>
                <w:kern w:val="0"/>
                <w:sz w:val="36"/>
                <w:szCs w:val="36"/>
              </w:rPr>
              <w:t>清理规范后不再纳入《清单》的行政审批中介服务项目目录</w:t>
            </w:r>
          </w:p>
        </w:tc>
      </w:tr>
      <w:tr w:rsidR="009A7F3C" w:rsidTr="00351ECD">
        <w:trPr>
          <w:trHeight w:val="764"/>
          <w:jc w:val="center"/>
        </w:trPr>
        <w:tc>
          <w:tcPr>
            <w:tcW w:w="720" w:type="dxa"/>
            <w:tcBorders>
              <w:top w:val="single" w:sz="4" w:space="0" w:color="auto"/>
              <w:left w:val="single" w:sz="4" w:space="0" w:color="auto"/>
              <w:bottom w:val="single" w:sz="4" w:space="0" w:color="auto"/>
              <w:right w:val="single" w:sz="4" w:space="0" w:color="auto"/>
            </w:tcBorders>
            <w:vAlign w:val="center"/>
          </w:tcPr>
          <w:p w:rsidR="009A7F3C" w:rsidRDefault="009A7F3C" w:rsidP="00351ECD">
            <w:pPr>
              <w:widowControl/>
              <w:jc w:val="center"/>
              <w:rPr>
                <w:rFonts w:ascii="黑体" w:eastAsia="黑体" w:hAnsi="宋体" w:cs="宋体"/>
                <w:kern w:val="0"/>
                <w:sz w:val="24"/>
              </w:rPr>
            </w:pPr>
            <w:r>
              <w:rPr>
                <w:rFonts w:ascii="黑体" w:eastAsia="黑体" w:hAnsi="宋体" w:cs="宋体" w:hint="eastAsia"/>
                <w:kern w:val="0"/>
                <w:sz w:val="24"/>
              </w:rPr>
              <w:t>序号</w:t>
            </w:r>
          </w:p>
        </w:tc>
        <w:tc>
          <w:tcPr>
            <w:tcW w:w="2260" w:type="dxa"/>
            <w:tcBorders>
              <w:top w:val="single" w:sz="4" w:space="0" w:color="auto"/>
              <w:left w:val="nil"/>
              <w:bottom w:val="single" w:sz="4" w:space="0" w:color="auto"/>
              <w:right w:val="single" w:sz="4" w:space="0" w:color="auto"/>
            </w:tcBorders>
            <w:vAlign w:val="center"/>
          </w:tcPr>
          <w:p w:rsidR="009A7F3C" w:rsidRDefault="009A7F3C" w:rsidP="00351ECD">
            <w:pPr>
              <w:widowControl/>
              <w:jc w:val="center"/>
              <w:rPr>
                <w:rFonts w:ascii="黑体" w:eastAsia="黑体" w:hAnsi="宋体" w:cs="宋体"/>
                <w:kern w:val="0"/>
                <w:sz w:val="24"/>
              </w:rPr>
            </w:pPr>
            <w:r>
              <w:rPr>
                <w:rFonts w:ascii="黑体" w:eastAsia="黑体" w:hAnsi="宋体" w:cs="宋体" w:hint="eastAsia"/>
                <w:kern w:val="0"/>
                <w:sz w:val="24"/>
              </w:rPr>
              <w:t>行政审批事项</w:t>
            </w:r>
          </w:p>
        </w:tc>
        <w:tc>
          <w:tcPr>
            <w:tcW w:w="1640" w:type="dxa"/>
            <w:tcBorders>
              <w:top w:val="single" w:sz="4" w:space="0" w:color="auto"/>
              <w:left w:val="nil"/>
              <w:bottom w:val="single" w:sz="4" w:space="0" w:color="auto"/>
              <w:right w:val="single" w:sz="4" w:space="0" w:color="auto"/>
            </w:tcBorders>
            <w:vAlign w:val="center"/>
          </w:tcPr>
          <w:p w:rsidR="009A7F3C" w:rsidRDefault="009A7F3C" w:rsidP="00351ECD">
            <w:pPr>
              <w:widowControl/>
              <w:jc w:val="center"/>
              <w:rPr>
                <w:rFonts w:ascii="黑体" w:eastAsia="黑体" w:hAnsi="宋体" w:cs="宋体"/>
                <w:kern w:val="0"/>
                <w:sz w:val="24"/>
              </w:rPr>
            </w:pPr>
            <w:r>
              <w:rPr>
                <w:rFonts w:ascii="黑体" w:eastAsia="黑体" w:hAnsi="宋体" w:cs="宋体" w:hint="eastAsia"/>
                <w:kern w:val="0"/>
                <w:sz w:val="24"/>
              </w:rPr>
              <w:t>中介服务</w:t>
            </w:r>
            <w:r>
              <w:rPr>
                <w:rFonts w:ascii="黑体" w:eastAsia="黑体" w:hAnsi="宋体" w:cs="宋体" w:hint="eastAsia"/>
                <w:kern w:val="0"/>
                <w:sz w:val="24"/>
              </w:rPr>
              <w:br/>
              <w:t>收费项目</w:t>
            </w:r>
          </w:p>
        </w:tc>
        <w:tc>
          <w:tcPr>
            <w:tcW w:w="3880" w:type="dxa"/>
            <w:tcBorders>
              <w:top w:val="single" w:sz="4" w:space="0" w:color="auto"/>
              <w:left w:val="nil"/>
              <w:bottom w:val="single" w:sz="4" w:space="0" w:color="auto"/>
              <w:right w:val="single" w:sz="4" w:space="0" w:color="auto"/>
            </w:tcBorders>
            <w:vAlign w:val="center"/>
          </w:tcPr>
          <w:p w:rsidR="009A7F3C" w:rsidRDefault="009A7F3C" w:rsidP="00351ECD">
            <w:pPr>
              <w:widowControl/>
              <w:jc w:val="center"/>
              <w:rPr>
                <w:rFonts w:ascii="黑体" w:eastAsia="黑体" w:hAnsi="宋体" w:cs="宋体"/>
                <w:kern w:val="0"/>
                <w:sz w:val="24"/>
              </w:rPr>
            </w:pPr>
            <w:r>
              <w:rPr>
                <w:rFonts w:ascii="黑体" w:eastAsia="黑体" w:hAnsi="宋体" w:cs="宋体" w:hint="eastAsia"/>
                <w:kern w:val="0"/>
                <w:sz w:val="24"/>
              </w:rPr>
              <w:t>中介服务收费项目设定依据</w:t>
            </w:r>
          </w:p>
        </w:tc>
        <w:tc>
          <w:tcPr>
            <w:tcW w:w="2280" w:type="dxa"/>
            <w:tcBorders>
              <w:top w:val="single" w:sz="4" w:space="0" w:color="auto"/>
              <w:left w:val="nil"/>
              <w:bottom w:val="single" w:sz="4" w:space="0" w:color="auto"/>
              <w:right w:val="single" w:sz="4" w:space="0" w:color="auto"/>
            </w:tcBorders>
            <w:vAlign w:val="center"/>
          </w:tcPr>
          <w:p w:rsidR="009A7F3C" w:rsidRDefault="009A7F3C" w:rsidP="00351ECD">
            <w:pPr>
              <w:widowControl/>
              <w:jc w:val="center"/>
              <w:rPr>
                <w:rFonts w:ascii="黑体" w:eastAsia="黑体" w:hAnsi="宋体" w:cs="宋体"/>
                <w:kern w:val="0"/>
                <w:sz w:val="24"/>
              </w:rPr>
            </w:pPr>
            <w:r>
              <w:rPr>
                <w:rFonts w:ascii="黑体" w:eastAsia="黑体" w:hAnsi="宋体" w:cs="宋体" w:hint="eastAsia"/>
                <w:kern w:val="0"/>
                <w:sz w:val="24"/>
              </w:rPr>
              <w:t>中介服务收费</w:t>
            </w:r>
            <w:r>
              <w:rPr>
                <w:rFonts w:ascii="黑体" w:eastAsia="黑体" w:hAnsi="宋体" w:cs="宋体" w:hint="eastAsia"/>
                <w:kern w:val="0"/>
                <w:sz w:val="24"/>
              </w:rPr>
              <w:br/>
              <w:t>项目实施机构</w:t>
            </w:r>
          </w:p>
        </w:tc>
        <w:tc>
          <w:tcPr>
            <w:tcW w:w="3280" w:type="dxa"/>
            <w:tcBorders>
              <w:top w:val="single" w:sz="4" w:space="0" w:color="auto"/>
              <w:left w:val="nil"/>
              <w:bottom w:val="single" w:sz="4" w:space="0" w:color="auto"/>
              <w:right w:val="single" w:sz="4" w:space="0" w:color="auto"/>
            </w:tcBorders>
            <w:vAlign w:val="center"/>
          </w:tcPr>
          <w:p w:rsidR="009A7F3C" w:rsidRDefault="009A7F3C" w:rsidP="00351ECD">
            <w:pPr>
              <w:widowControl/>
              <w:jc w:val="center"/>
              <w:rPr>
                <w:rFonts w:ascii="黑体" w:eastAsia="黑体" w:hAnsi="宋体" w:cs="宋体"/>
                <w:kern w:val="0"/>
                <w:sz w:val="24"/>
              </w:rPr>
            </w:pPr>
            <w:r>
              <w:rPr>
                <w:rFonts w:ascii="黑体" w:eastAsia="黑体" w:hAnsi="宋体" w:cs="宋体" w:hint="eastAsia"/>
                <w:kern w:val="0"/>
                <w:sz w:val="24"/>
              </w:rPr>
              <w:t>处理决定</w:t>
            </w:r>
          </w:p>
        </w:tc>
      </w:tr>
      <w:tr w:rsidR="009A7F3C" w:rsidTr="00351ECD">
        <w:trPr>
          <w:trHeight w:val="447"/>
          <w:jc w:val="center"/>
        </w:trPr>
        <w:tc>
          <w:tcPr>
            <w:tcW w:w="14060" w:type="dxa"/>
            <w:gridSpan w:val="6"/>
            <w:tcBorders>
              <w:top w:val="single" w:sz="4" w:space="0" w:color="auto"/>
              <w:left w:val="single" w:sz="4" w:space="0" w:color="auto"/>
              <w:bottom w:val="single" w:sz="4" w:space="0" w:color="auto"/>
              <w:right w:val="single" w:sz="4" w:space="0" w:color="auto"/>
            </w:tcBorders>
            <w:vAlign w:val="center"/>
          </w:tcPr>
          <w:p w:rsidR="009A7F3C" w:rsidRDefault="009A7F3C" w:rsidP="00351ECD">
            <w:pPr>
              <w:widowControl/>
              <w:jc w:val="left"/>
              <w:rPr>
                <w:rFonts w:ascii="宋体" w:hAnsi="宋体" w:cs="宋体" w:hint="eastAsia"/>
                <w:kern w:val="0"/>
                <w:sz w:val="22"/>
                <w:szCs w:val="22"/>
              </w:rPr>
            </w:pPr>
            <w:r>
              <w:rPr>
                <w:rFonts w:ascii="宋体" w:hAnsi="宋体" w:cs="宋体" w:hint="eastAsia"/>
                <w:kern w:val="0"/>
                <w:sz w:val="22"/>
                <w:szCs w:val="22"/>
              </w:rPr>
              <w:t>一、县发改局</w:t>
            </w:r>
          </w:p>
        </w:tc>
      </w:tr>
      <w:tr w:rsidR="009A7F3C" w:rsidTr="00351ECD">
        <w:trPr>
          <w:trHeight w:val="2220"/>
          <w:jc w:val="center"/>
        </w:trPr>
        <w:tc>
          <w:tcPr>
            <w:tcW w:w="720" w:type="dxa"/>
            <w:tcBorders>
              <w:top w:val="nil"/>
              <w:left w:val="single" w:sz="4" w:space="0" w:color="auto"/>
              <w:bottom w:val="single" w:sz="4" w:space="0" w:color="auto"/>
              <w:right w:val="single" w:sz="4" w:space="0" w:color="auto"/>
            </w:tcBorders>
            <w:vAlign w:val="center"/>
          </w:tcPr>
          <w:p w:rsidR="009A7F3C" w:rsidRDefault="009A7F3C" w:rsidP="00351ECD">
            <w:pPr>
              <w:widowControl/>
              <w:spacing w:line="400" w:lineRule="exact"/>
              <w:jc w:val="center"/>
              <w:rPr>
                <w:rFonts w:ascii="宋体" w:hAnsi="宋体" w:cs="宋体" w:hint="eastAsia"/>
                <w:kern w:val="0"/>
                <w:sz w:val="22"/>
                <w:szCs w:val="22"/>
              </w:rPr>
            </w:pPr>
            <w:r>
              <w:rPr>
                <w:rFonts w:ascii="宋体" w:hAnsi="宋体" w:cs="宋体" w:hint="eastAsia"/>
                <w:kern w:val="0"/>
                <w:sz w:val="22"/>
                <w:szCs w:val="22"/>
              </w:rPr>
              <w:t>1</w:t>
            </w:r>
          </w:p>
        </w:tc>
        <w:tc>
          <w:tcPr>
            <w:tcW w:w="2260" w:type="dxa"/>
            <w:tcBorders>
              <w:top w:val="nil"/>
              <w:left w:val="nil"/>
              <w:bottom w:val="single" w:sz="4" w:space="0" w:color="auto"/>
              <w:right w:val="single" w:sz="4" w:space="0" w:color="auto"/>
            </w:tcBorders>
            <w:vAlign w:val="center"/>
          </w:tcPr>
          <w:p w:rsidR="009A7F3C" w:rsidRDefault="009A7F3C" w:rsidP="00351ECD">
            <w:pPr>
              <w:widowControl/>
              <w:spacing w:line="400" w:lineRule="exact"/>
              <w:jc w:val="left"/>
              <w:rPr>
                <w:rFonts w:ascii="宋体" w:hAnsi="宋体" w:cs="宋体" w:hint="eastAsia"/>
                <w:kern w:val="0"/>
                <w:sz w:val="22"/>
                <w:szCs w:val="22"/>
              </w:rPr>
            </w:pPr>
            <w:r>
              <w:rPr>
                <w:rFonts w:ascii="宋体" w:hAnsi="宋体" w:cs="宋体" w:hint="eastAsia"/>
                <w:kern w:val="0"/>
                <w:sz w:val="22"/>
                <w:szCs w:val="22"/>
              </w:rPr>
              <w:t>权限内企业投资项目核准</w:t>
            </w:r>
          </w:p>
        </w:tc>
        <w:tc>
          <w:tcPr>
            <w:tcW w:w="1640" w:type="dxa"/>
            <w:tcBorders>
              <w:top w:val="nil"/>
              <w:left w:val="nil"/>
              <w:bottom w:val="single" w:sz="4" w:space="0" w:color="auto"/>
              <w:right w:val="single" w:sz="4" w:space="0" w:color="auto"/>
            </w:tcBorders>
            <w:vAlign w:val="center"/>
          </w:tcPr>
          <w:p w:rsidR="009A7F3C" w:rsidRDefault="009A7F3C" w:rsidP="00351ECD">
            <w:pPr>
              <w:widowControl/>
              <w:spacing w:line="400" w:lineRule="exact"/>
              <w:jc w:val="left"/>
              <w:rPr>
                <w:rFonts w:ascii="宋体" w:hAnsi="宋体" w:cs="宋体" w:hint="eastAsia"/>
                <w:kern w:val="0"/>
                <w:sz w:val="22"/>
                <w:szCs w:val="22"/>
              </w:rPr>
            </w:pPr>
            <w:r>
              <w:rPr>
                <w:rFonts w:ascii="宋体" w:hAnsi="宋体" w:cs="宋体" w:hint="eastAsia"/>
                <w:kern w:val="0"/>
                <w:sz w:val="22"/>
                <w:szCs w:val="22"/>
              </w:rPr>
              <w:t>编制项目申请报告</w:t>
            </w:r>
          </w:p>
        </w:tc>
        <w:tc>
          <w:tcPr>
            <w:tcW w:w="3880" w:type="dxa"/>
            <w:tcBorders>
              <w:top w:val="nil"/>
              <w:left w:val="nil"/>
              <w:bottom w:val="single" w:sz="4" w:space="0" w:color="auto"/>
              <w:right w:val="single" w:sz="4" w:space="0" w:color="auto"/>
            </w:tcBorders>
            <w:vAlign w:val="center"/>
          </w:tcPr>
          <w:p w:rsidR="009A7F3C" w:rsidRDefault="009A7F3C" w:rsidP="00351ECD">
            <w:pPr>
              <w:widowControl/>
              <w:spacing w:line="400" w:lineRule="exact"/>
              <w:jc w:val="left"/>
              <w:rPr>
                <w:rFonts w:ascii="宋体" w:hAnsi="宋体" w:cs="宋体" w:hint="eastAsia"/>
                <w:kern w:val="0"/>
                <w:sz w:val="22"/>
                <w:szCs w:val="22"/>
              </w:rPr>
            </w:pPr>
            <w:r>
              <w:rPr>
                <w:rFonts w:ascii="宋体" w:hAnsi="宋体" w:cs="宋体" w:hint="eastAsia"/>
                <w:kern w:val="0"/>
                <w:sz w:val="22"/>
                <w:szCs w:val="22"/>
              </w:rPr>
              <w:t xml:space="preserve">1.《国务院关于投资体制改革的决定》（国发〔2004〕20号） </w:t>
            </w:r>
            <w:r>
              <w:rPr>
                <w:rFonts w:ascii="宋体" w:hAnsi="宋体" w:cs="宋体" w:hint="eastAsia"/>
                <w:kern w:val="0"/>
                <w:sz w:val="22"/>
                <w:szCs w:val="22"/>
              </w:rPr>
              <w:br/>
              <w:t xml:space="preserve">2.《政府核准投资项目管理办法》（国家发展改革委令第11号） </w:t>
            </w:r>
          </w:p>
        </w:tc>
        <w:tc>
          <w:tcPr>
            <w:tcW w:w="2280" w:type="dxa"/>
            <w:tcBorders>
              <w:top w:val="nil"/>
              <w:left w:val="nil"/>
              <w:bottom w:val="single" w:sz="4" w:space="0" w:color="auto"/>
              <w:right w:val="single" w:sz="4" w:space="0" w:color="auto"/>
            </w:tcBorders>
            <w:vAlign w:val="center"/>
          </w:tcPr>
          <w:p w:rsidR="009A7F3C" w:rsidRDefault="009A7F3C" w:rsidP="00351ECD">
            <w:pPr>
              <w:widowControl/>
              <w:spacing w:line="400" w:lineRule="exact"/>
              <w:jc w:val="left"/>
              <w:rPr>
                <w:rFonts w:ascii="宋体" w:hAnsi="宋体" w:cs="宋体" w:hint="eastAsia"/>
                <w:kern w:val="0"/>
                <w:sz w:val="22"/>
                <w:szCs w:val="22"/>
              </w:rPr>
            </w:pPr>
            <w:r>
              <w:rPr>
                <w:rFonts w:ascii="宋体" w:hAnsi="宋体" w:cs="宋体" w:hint="eastAsia"/>
                <w:kern w:val="0"/>
                <w:sz w:val="22"/>
                <w:szCs w:val="22"/>
              </w:rPr>
              <w:t>具有相应资质的工程咨询机构</w:t>
            </w:r>
          </w:p>
        </w:tc>
        <w:tc>
          <w:tcPr>
            <w:tcW w:w="3280" w:type="dxa"/>
            <w:tcBorders>
              <w:top w:val="nil"/>
              <w:left w:val="nil"/>
              <w:bottom w:val="single" w:sz="4" w:space="0" w:color="auto"/>
              <w:right w:val="single" w:sz="4" w:space="0" w:color="auto"/>
            </w:tcBorders>
            <w:vAlign w:val="center"/>
          </w:tcPr>
          <w:p w:rsidR="009A7F3C" w:rsidRDefault="009A7F3C" w:rsidP="00351ECD">
            <w:pPr>
              <w:widowControl/>
              <w:spacing w:line="380" w:lineRule="exact"/>
              <w:jc w:val="left"/>
              <w:rPr>
                <w:rFonts w:ascii="宋体" w:hAnsi="宋体" w:cs="宋体" w:hint="eastAsia"/>
                <w:kern w:val="0"/>
                <w:sz w:val="22"/>
                <w:szCs w:val="22"/>
              </w:rPr>
            </w:pPr>
            <w:r>
              <w:rPr>
                <w:rFonts w:ascii="宋体" w:hAnsi="宋体" w:cs="宋体" w:hint="eastAsia"/>
                <w:kern w:val="0"/>
                <w:sz w:val="22"/>
                <w:szCs w:val="22"/>
              </w:rPr>
              <w:t>申请人可按要求自行编制项目申请报告，也可委托有关机构编制，审批部门不得以任何形式要求申请人必须委托特定中介机构提供服务；保留审批部门现有的项目申请报告技术评估、评审</w:t>
            </w:r>
          </w:p>
        </w:tc>
      </w:tr>
      <w:tr w:rsidR="009A7F3C" w:rsidTr="00351ECD">
        <w:trPr>
          <w:trHeight w:val="433"/>
          <w:jc w:val="center"/>
        </w:trPr>
        <w:tc>
          <w:tcPr>
            <w:tcW w:w="14060" w:type="dxa"/>
            <w:gridSpan w:val="6"/>
            <w:tcBorders>
              <w:top w:val="single" w:sz="4" w:space="0" w:color="auto"/>
              <w:left w:val="single" w:sz="4" w:space="0" w:color="auto"/>
              <w:bottom w:val="single" w:sz="4" w:space="0" w:color="auto"/>
              <w:right w:val="single" w:sz="4" w:space="0" w:color="auto"/>
            </w:tcBorders>
            <w:vAlign w:val="center"/>
          </w:tcPr>
          <w:p w:rsidR="009A7F3C" w:rsidRDefault="009A7F3C" w:rsidP="00351ECD">
            <w:pPr>
              <w:widowControl/>
              <w:jc w:val="left"/>
              <w:rPr>
                <w:rFonts w:ascii="宋体" w:hAnsi="宋体" w:cs="宋体" w:hint="eastAsia"/>
                <w:kern w:val="0"/>
                <w:sz w:val="22"/>
                <w:szCs w:val="22"/>
              </w:rPr>
            </w:pPr>
            <w:r>
              <w:rPr>
                <w:rFonts w:ascii="宋体" w:hAnsi="宋体" w:cs="宋体" w:hint="eastAsia"/>
                <w:kern w:val="0"/>
                <w:sz w:val="22"/>
                <w:szCs w:val="22"/>
              </w:rPr>
              <w:t>二、县林业局</w:t>
            </w:r>
          </w:p>
        </w:tc>
      </w:tr>
      <w:tr w:rsidR="009A7F3C" w:rsidTr="00351ECD">
        <w:trPr>
          <w:trHeight w:val="2700"/>
          <w:jc w:val="center"/>
        </w:trPr>
        <w:tc>
          <w:tcPr>
            <w:tcW w:w="720" w:type="dxa"/>
            <w:tcBorders>
              <w:top w:val="nil"/>
              <w:left w:val="single" w:sz="4" w:space="0" w:color="auto"/>
              <w:bottom w:val="single" w:sz="4" w:space="0" w:color="auto"/>
              <w:right w:val="single" w:sz="4" w:space="0" w:color="auto"/>
            </w:tcBorders>
            <w:vAlign w:val="center"/>
          </w:tcPr>
          <w:p w:rsidR="009A7F3C" w:rsidRDefault="009A7F3C" w:rsidP="00351ECD">
            <w:pPr>
              <w:widowControl/>
              <w:spacing w:line="400" w:lineRule="exact"/>
              <w:jc w:val="center"/>
              <w:rPr>
                <w:rFonts w:ascii="宋体" w:hAnsi="宋体" w:cs="宋体" w:hint="eastAsia"/>
                <w:kern w:val="0"/>
                <w:sz w:val="22"/>
                <w:szCs w:val="22"/>
              </w:rPr>
            </w:pPr>
            <w:r>
              <w:rPr>
                <w:rFonts w:ascii="宋体" w:hAnsi="宋体" w:cs="宋体" w:hint="eastAsia"/>
                <w:kern w:val="0"/>
                <w:sz w:val="22"/>
                <w:szCs w:val="22"/>
              </w:rPr>
              <w:t>2</w:t>
            </w:r>
          </w:p>
        </w:tc>
        <w:tc>
          <w:tcPr>
            <w:tcW w:w="2260" w:type="dxa"/>
            <w:tcBorders>
              <w:top w:val="nil"/>
              <w:left w:val="nil"/>
              <w:bottom w:val="single" w:sz="4" w:space="0" w:color="auto"/>
              <w:right w:val="single" w:sz="4" w:space="0" w:color="auto"/>
            </w:tcBorders>
            <w:vAlign w:val="center"/>
          </w:tcPr>
          <w:p w:rsidR="009A7F3C" w:rsidRDefault="009A7F3C" w:rsidP="00351ECD">
            <w:pPr>
              <w:widowControl/>
              <w:spacing w:line="400" w:lineRule="exact"/>
              <w:jc w:val="left"/>
              <w:rPr>
                <w:rFonts w:ascii="宋体" w:hAnsi="宋体" w:cs="宋体" w:hint="eastAsia"/>
                <w:kern w:val="0"/>
                <w:sz w:val="22"/>
                <w:szCs w:val="22"/>
              </w:rPr>
            </w:pPr>
            <w:r>
              <w:rPr>
                <w:rFonts w:ascii="宋体" w:hAnsi="宋体" w:cs="宋体" w:hint="eastAsia"/>
                <w:kern w:val="0"/>
                <w:sz w:val="22"/>
                <w:szCs w:val="22"/>
              </w:rPr>
              <w:t>占用、征收、征用林地审核</w:t>
            </w:r>
          </w:p>
        </w:tc>
        <w:tc>
          <w:tcPr>
            <w:tcW w:w="1640" w:type="dxa"/>
            <w:tcBorders>
              <w:top w:val="nil"/>
              <w:left w:val="nil"/>
              <w:bottom w:val="single" w:sz="4" w:space="0" w:color="auto"/>
              <w:right w:val="single" w:sz="4" w:space="0" w:color="auto"/>
            </w:tcBorders>
            <w:vAlign w:val="center"/>
          </w:tcPr>
          <w:p w:rsidR="009A7F3C" w:rsidRDefault="009A7F3C" w:rsidP="00351ECD">
            <w:pPr>
              <w:widowControl/>
              <w:spacing w:line="400" w:lineRule="exact"/>
              <w:jc w:val="left"/>
              <w:rPr>
                <w:rFonts w:ascii="宋体" w:hAnsi="宋体" w:cs="宋体" w:hint="eastAsia"/>
                <w:kern w:val="0"/>
                <w:sz w:val="22"/>
                <w:szCs w:val="22"/>
              </w:rPr>
            </w:pPr>
            <w:r>
              <w:rPr>
                <w:rFonts w:ascii="宋体" w:hAnsi="宋体" w:cs="宋体" w:hint="eastAsia"/>
                <w:kern w:val="0"/>
                <w:sz w:val="22"/>
                <w:szCs w:val="22"/>
              </w:rPr>
              <w:t>编制使用林地可行性报告</w:t>
            </w:r>
          </w:p>
        </w:tc>
        <w:tc>
          <w:tcPr>
            <w:tcW w:w="3880" w:type="dxa"/>
            <w:tcBorders>
              <w:top w:val="nil"/>
              <w:left w:val="nil"/>
              <w:bottom w:val="single" w:sz="4" w:space="0" w:color="auto"/>
              <w:right w:val="single" w:sz="4" w:space="0" w:color="auto"/>
            </w:tcBorders>
            <w:vAlign w:val="center"/>
          </w:tcPr>
          <w:p w:rsidR="009A7F3C" w:rsidRDefault="009A7F3C" w:rsidP="00351ECD">
            <w:pPr>
              <w:widowControl/>
              <w:spacing w:line="400" w:lineRule="exact"/>
              <w:jc w:val="left"/>
              <w:rPr>
                <w:rFonts w:ascii="宋体" w:hAnsi="宋体" w:cs="宋体" w:hint="eastAsia"/>
                <w:kern w:val="0"/>
                <w:sz w:val="22"/>
                <w:szCs w:val="22"/>
              </w:rPr>
            </w:pPr>
            <w:r>
              <w:rPr>
                <w:rFonts w:ascii="宋体" w:hAnsi="宋体" w:cs="宋体" w:hint="eastAsia"/>
                <w:kern w:val="0"/>
                <w:sz w:val="22"/>
                <w:szCs w:val="22"/>
              </w:rPr>
              <w:t>《建设项目使用林地审核审批管理办法》（国家林业局令第35号）</w:t>
            </w:r>
          </w:p>
        </w:tc>
        <w:tc>
          <w:tcPr>
            <w:tcW w:w="2280" w:type="dxa"/>
            <w:tcBorders>
              <w:top w:val="nil"/>
              <w:left w:val="nil"/>
              <w:bottom w:val="single" w:sz="4" w:space="0" w:color="auto"/>
              <w:right w:val="single" w:sz="4" w:space="0" w:color="auto"/>
            </w:tcBorders>
            <w:vAlign w:val="center"/>
          </w:tcPr>
          <w:p w:rsidR="009A7F3C" w:rsidRDefault="009A7F3C" w:rsidP="00351ECD">
            <w:pPr>
              <w:widowControl/>
              <w:spacing w:line="400" w:lineRule="exact"/>
              <w:jc w:val="left"/>
              <w:rPr>
                <w:rFonts w:ascii="宋体" w:hAnsi="宋体" w:cs="宋体" w:hint="eastAsia"/>
                <w:kern w:val="0"/>
                <w:sz w:val="22"/>
                <w:szCs w:val="22"/>
              </w:rPr>
            </w:pPr>
            <w:r>
              <w:rPr>
                <w:rFonts w:ascii="宋体" w:hAnsi="宋体" w:cs="宋体" w:hint="eastAsia"/>
                <w:kern w:val="0"/>
                <w:sz w:val="22"/>
                <w:szCs w:val="22"/>
              </w:rPr>
              <w:t>具有资质的设计单位</w:t>
            </w:r>
          </w:p>
        </w:tc>
        <w:tc>
          <w:tcPr>
            <w:tcW w:w="3280" w:type="dxa"/>
            <w:tcBorders>
              <w:top w:val="nil"/>
              <w:left w:val="nil"/>
              <w:bottom w:val="single" w:sz="4" w:space="0" w:color="auto"/>
              <w:right w:val="single" w:sz="4" w:space="0" w:color="auto"/>
            </w:tcBorders>
            <w:vAlign w:val="center"/>
          </w:tcPr>
          <w:p w:rsidR="009A7F3C" w:rsidRDefault="009A7F3C" w:rsidP="00351ECD">
            <w:pPr>
              <w:widowControl/>
              <w:spacing w:line="400" w:lineRule="exact"/>
              <w:jc w:val="left"/>
              <w:rPr>
                <w:rFonts w:ascii="宋体" w:hAnsi="宋体" w:cs="宋体" w:hint="eastAsia"/>
                <w:kern w:val="0"/>
                <w:sz w:val="22"/>
                <w:szCs w:val="22"/>
              </w:rPr>
            </w:pPr>
            <w:r>
              <w:rPr>
                <w:rFonts w:ascii="宋体" w:hAnsi="宋体" w:cs="宋体" w:hint="eastAsia"/>
                <w:kern w:val="0"/>
                <w:sz w:val="22"/>
                <w:szCs w:val="22"/>
              </w:rPr>
              <w:t>申请人可按要求自行编制建设项目使用林地可行性报告，也可委托有关机构编制，</w:t>
            </w:r>
            <w:r>
              <w:rPr>
                <w:rFonts w:ascii="宋体" w:hAnsi="宋体" w:cs="宋体" w:hint="eastAsia"/>
                <w:spacing w:val="-4"/>
                <w:kern w:val="0"/>
                <w:sz w:val="22"/>
                <w:szCs w:val="22"/>
              </w:rPr>
              <w:t>审批部门不得以任何形式要求申请人必须委托特定中介机构提供服务；保留审批部门现有的建设项目使用林</w:t>
            </w:r>
            <w:r>
              <w:rPr>
                <w:rFonts w:ascii="宋体" w:hAnsi="宋体" w:cs="宋体" w:hint="eastAsia"/>
                <w:spacing w:val="-4"/>
                <w:kern w:val="0"/>
                <w:sz w:val="22"/>
                <w:szCs w:val="22"/>
              </w:rPr>
              <w:lastRenderedPageBreak/>
              <w:t>地可行性报告技术评估、评审</w:t>
            </w:r>
          </w:p>
        </w:tc>
      </w:tr>
      <w:tr w:rsidR="009A7F3C" w:rsidTr="00351ECD">
        <w:trPr>
          <w:trHeight w:val="600"/>
          <w:jc w:val="center"/>
        </w:trPr>
        <w:tc>
          <w:tcPr>
            <w:tcW w:w="14060" w:type="dxa"/>
            <w:gridSpan w:val="6"/>
            <w:tcBorders>
              <w:top w:val="single" w:sz="4" w:space="0" w:color="auto"/>
              <w:left w:val="single" w:sz="4" w:space="0" w:color="auto"/>
              <w:bottom w:val="single" w:sz="4" w:space="0" w:color="auto"/>
              <w:right w:val="single" w:sz="4" w:space="0" w:color="auto"/>
            </w:tcBorders>
            <w:vAlign w:val="center"/>
          </w:tcPr>
          <w:p w:rsidR="009A7F3C" w:rsidRDefault="009A7F3C" w:rsidP="00351ECD">
            <w:pPr>
              <w:widowControl/>
              <w:spacing w:line="400" w:lineRule="exact"/>
              <w:jc w:val="left"/>
              <w:rPr>
                <w:rFonts w:ascii="宋体" w:hAnsi="宋体" w:cs="宋体" w:hint="eastAsia"/>
                <w:kern w:val="0"/>
                <w:sz w:val="22"/>
                <w:szCs w:val="22"/>
              </w:rPr>
            </w:pPr>
            <w:r>
              <w:rPr>
                <w:rFonts w:ascii="宋体" w:hAnsi="宋体" w:cs="宋体" w:hint="eastAsia"/>
                <w:kern w:val="0"/>
                <w:sz w:val="22"/>
                <w:szCs w:val="22"/>
              </w:rPr>
              <w:lastRenderedPageBreak/>
              <w:t>三、县文广新局</w:t>
            </w:r>
          </w:p>
        </w:tc>
      </w:tr>
      <w:tr w:rsidR="009A7F3C" w:rsidTr="00351ECD">
        <w:trPr>
          <w:trHeight w:val="1962"/>
          <w:jc w:val="center"/>
        </w:trPr>
        <w:tc>
          <w:tcPr>
            <w:tcW w:w="720" w:type="dxa"/>
            <w:tcBorders>
              <w:top w:val="nil"/>
              <w:left w:val="single" w:sz="4" w:space="0" w:color="auto"/>
              <w:bottom w:val="single" w:sz="4" w:space="0" w:color="auto"/>
              <w:right w:val="single" w:sz="4" w:space="0" w:color="auto"/>
            </w:tcBorders>
            <w:vAlign w:val="center"/>
          </w:tcPr>
          <w:p w:rsidR="009A7F3C" w:rsidRDefault="009A7F3C" w:rsidP="00351ECD">
            <w:pPr>
              <w:widowControl/>
              <w:spacing w:line="400" w:lineRule="exact"/>
              <w:jc w:val="center"/>
              <w:rPr>
                <w:rFonts w:ascii="宋体" w:hAnsi="宋体" w:cs="宋体" w:hint="eastAsia"/>
                <w:kern w:val="0"/>
                <w:sz w:val="22"/>
                <w:szCs w:val="22"/>
              </w:rPr>
            </w:pPr>
            <w:r>
              <w:rPr>
                <w:rFonts w:ascii="宋体" w:hAnsi="宋体" w:cs="宋体" w:hint="eastAsia"/>
                <w:kern w:val="0"/>
                <w:sz w:val="22"/>
                <w:szCs w:val="22"/>
              </w:rPr>
              <w:t>3</w:t>
            </w:r>
          </w:p>
        </w:tc>
        <w:tc>
          <w:tcPr>
            <w:tcW w:w="2260" w:type="dxa"/>
            <w:tcBorders>
              <w:top w:val="nil"/>
              <w:left w:val="nil"/>
              <w:bottom w:val="single" w:sz="4" w:space="0" w:color="auto"/>
              <w:right w:val="single" w:sz="4" w:space="0" w:color="auto"/>
            </w:tcBorders>
            <w:vAlign w:val="center"/>
          </w:tcPr>
          <w:p w:rsidR="009A7F3C" w:rsidRDefault="009A7F3C" w:rsidP="00351ECD">
            <w:pPr>
              <w:widowControl/>
              <w:spacing w:line="400" w:lineRule="exact"/>
              <w:jc w:val="left"/>
              <w:rPr>
                <w:rFonts w:ascii="宋体" w:hAnsi="宋体" w:cs="宋体" w:hint="eastAsia"/>
                <w:kern w:val="0"/>
                <w:sz w:val="22"/>
                <w:szCs w:val="22"/>
              </w:rPr>
            </w:pPr>
            <w:r>
              <w:rPr>
                <w:rFonts w:ascii="宋体" w:hAnsi="宋体" w:cs="宋体" w:hint="eastAsia"/>
                <w:kern w:val="0"/>
                <w:sz w:val="22"/>
                <w:szCs w:val="22"/>
              </w:rPr>
              <w:t>在文物保护单位保护范围内进行其他建设工程或爆破、钻探、挖掘等作业审核</w:t>
            </w:r>
          </w:p>
        </w:tc>
        <w:tc>
          <w:tcPr>
            <w:tcW w:w="1640" w:type="dxa"/>
            <w:tcBorders>
              <w:top w:val="nil"/>
              <w:left w:val="nil"/>
              <w:bottom w:val="single" w:sz="4" w:space="0" w:color="auto"/>
              <w:right w:val="single" w:sz="4" w:space="0" w:color="auto"/>
            </w:tcBorders>
            <w:vAlign w:val="center"/>
          </w:tcPr>
          <w:p w:rsidR="009A7F3C" w:rsidRDefault="009A7F3C" w:rsidP="00351ECD">
            <w:pPr>
              <w:widowControl/>
              <w:spacing w:line="400" w:lineRule="exact"/>
              <w:jc w:val="left"/>
              <w:rPr>
                <w:rFonts w:ascii="宋体" w:hAnsi="宋体" w:cs="宋体" w:hint="eastAsia"/>
                <w:kern w:val="0"/>
                <w:sz w:val="22"/>
                <w:szCs w:val="22"/>
              </w:rPr>
            </w:pPr>
            <w:r>
              <w:rPr>
                <w:rFonts w:ascii="宋体" w:hAnsi="宋体" w:cs="宋体" w:hint="eastAsia"/>
                <w:kern w:val="0"/>
                <w:sz w:val="22"/>
                <w:szCs w:val="22"/>
              </w:rPr>
              <w:t>考古调查、勘探和发掘</w:t>
            </w:r>
          </w:p>
        </w:tc>
        <w:tc>
          <w:tcPr>
            <w:tcW w:w="3880" w:type="dxa"/>
            <w:tcBorders>
              <w:top w:val="nil"/>
              <w:left w:val="nil"/>
              <w:bottom w:val="single" w:sz="4" w:space="0" w:color="auto"/>
              <w:right w:val="single" w:sz="4" w:space="0" w:color="auto"/>
            </w:tcBorders>
            <w:vAlign w:val="center"/>
          </w:tcPr>
          <w:p w:rsidR="009A7F3C" w:rsidRDefault="009A7F3C" w:rsidP="00351ECD">
            <w:pPr>
              <w:widowControl/>
              <w:spacing w:line="400" w:lineRule="exact"/>
              <w:jc w:val="left"/>
              <w:rPr>
                <w:rFonts w:ascii="宋体" w:hAnsi="宋体" w:cs="宋体" w:hint="eastAsia"/>
                <w:kern w:val="0"/>
                <w:sz w:val="22"/>
                <w:szCs w:val="22"/>
              </w:rPr>
            </w:pPr>
            <w:r>
              <w:rPr>
                <w:rFonts w:ascii="宋体" w:hAnsi="宋体" w:cs="宋体" w:hint="eastAsia"/>
                <w:kern w:val="0"/>
                <w:sz w:val="22"/>
                <w:szCs w:val="22"/>
              </w:rPr>
              <w:t>1.《文物保护法》</w:t>
            </w:r>
            <w:r>
              <w:rPr>
                <w:rFonts w:ascii="宋体" w:hAnsi="宋体" w:cs="宋体" w:hint="eastAsia"/>
                <w:kern w:val="0"/>
                <w:sz w:val="22"/>
                <w:szCs w:val="22"/>
              </w:rPr>
              <w:br/>
              <w:t>2.《山东省文物保护条例》</w:t>
            </w:r>
          </w:p>
        </w:tc>
        <w:tc>
          <w:tcPr>
            <w:tcW w:w="2280" w:type="dxa"/>
            <w:tcBorders>
              <w:top w:val="nil"/>
              <w:left w:val="nil"/>
              <w:bottom w:val="single" w:sz="4" w:space="0" w:color="auto"/>
              <w:right w:val="single" w:sz="4" w:space="0" w:color="auto"/>
            </w:tcBorders>
            <w:vAlign w:val="center"/>
          </w:tcPr>
          <w:p w:rsidR="009A7F3C" w:rsidRDefault="009A7F3C" w:rsidP="00351ECD">
            <w:pPr>
              <w:widowControl/>
              <w:spacing w:line="400" w:lineRule="exact"/>
              <w:jc w:val="left"/>
              <w:rPr>
                <w:rFonts w:ascii="宋体" w:hAnsi="宋体" w:cs="宋体" w:hint="eastAsia"/>
                <w:kern w:val="0"/>
                <w:sz w:val="22"/>
                <w:szCs w:val="22"/>
              </w:rPr>
            </w:pPr>
            <w:r>
              <w:rPr>
                <w:rFonts w:ascii="宋体" w:hAnsi="宋体" w:cs="宋体" w:hint="eastAsia"/>
                <w:kern w:val="0"/>
                <w:sz w:val="22"/>
                <w:szCs w:val="22"/>
              </w:rPr>
              <w:t>考古发掘单位</w:t>
            </w:r>
          </w:p>
        </w:tc>
        <w:tc>
          <w:tcPr>
            <w:tcW w:w="3280" w:type="dxa"/>
            <w:tcBorders>
              <w:top w:val="nil"/>
              <w:left w:val="nil"/>
              <w:bottom w:val="single" w:sz="4" w:space="0" w:color="auto"/>
              <w:right w:val="single" w:sz="4" w:space="0" w:color="auto"/>
            </w:tcBorders>
            <w:vAlign w:val="center"/>
          </w:tcPr>
          <w:p w:rsidR="009A7F3C" w:rsidRDefault="009A7F3C" w:rsidP="00351ECD">
            <w:pPr>
              <w:widowControl/>
              <w:spacing w:line="400" w:lineRule="exact"/>
              <w:jc w:val="left"/>
              <w:rPr>
                <w:rFonts w:ascii="宋体" w:hAnsi="宋体" w:cs="宋体" w:hint="eastAsia"/>
                <w:kern w:val="0"/>
                <w:sz w:val="22"/>
                <w:szCs w:val="22"/>
              </w:rPr>
            </w:pPr>
            <w:r>
              <w:rPr>
                <w:rFonts w:ascii="宋体" w:hAnsi="宋体" w:cs="宋体" w:hint="eastAsia"/>
                <w:kern w:val="0"/>
                <w:sz w:val="22"/>
                <w:szCs w:val="22"/>
              </w:rPr>
              <w:t>不再要求申请人委托有关机构开展考古勘探发掘，改由审批部门委托有关机构开展考古勘探发掘</w:t>
            </w:r>
          </w:p>
        </w:tc>
      </w:tr>
    </w:tbl>
    <w:p w:rsidR="00C57700" w:rsidRPr="009A7F3C" w:rsidRDefault="00C57700">
      <w:bookmarkStart w:id="0" w:name="_GoBack"/>
      <w:bookmarkEnd w:id="0"/>
    </w:p>
    <w:sectPr w:rsidR="00C57700" w:rsidRPr="009A7F3C" w:rsidSect="009A7F3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F3C"/>
    <w:rsid w:val="009A7F3C"/>
    <w:rsid w:val="00C57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3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3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MC SYSTEM</cp:lastModifiedBy>
  <cp:revision>1</cp:revision>
  <dcterms:created xsi:type="dcterms:W3CDTF">2017-06-30T15:38:00Z</dcterms:created>
  <dcterms:modified xsi:type="dcterms:W3CDTF">2017-06-30T15:38:00Z</dcterms:modified>
</cp:coreProperties>
</file>